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pPr w:leftFromText="180" w:rightFromText="180" w:vertAnchor="text" w:tblpXSpec="left" w:tblpY="1"/>
        <w:tblOverlap w:val="never"/>
        <w:tblW w:w="13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38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143" w:hRule="atLeast"/>
        </w:trPr>
        <w:tc>
          <w:tcPr>
            <w:tcW w:w="13820" w:type="dxa"/>
            <w:tcBorders>
              <w:top w:val="nil"/>
              <w:left w:val="nil"/>
              <w:bottom w:val="nil"/>
              <w:right w:val="nil"/>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440" w:lineRule="exact"/>
              <w:jc w:val="left"/>
              <w:textAlignment w:val="center"/>
              <w:rPr>
                <w:rFonts w:hint="eastAsia" w:ascii="宋体" w:hAnsi="宋体" w:eastAsia="宋体" w:cs="宋体"/>
                <w:i w:val="0"/>
                <w:color w:val="000000"/>
                <w:kern w:val="0"/>
                <w:sz w:val="32"/>
                <w:szCs w:val="32"/>
                <w:highlight w:val="none"/>
                <w:u w:val="none"/>
                <w:lang w:val="en-US" w:eastAsia="zh-CN" w:bidi="ar"/>
              </w:rPr>
            </w:pPr>
            <w:bookmarkStart w:id="0" w:name="_GoBack"/>
            <w:bookmarkEnd w:id="0"/>
            <w:r>
              <w:rPr>
                <w:rFonts w:hint="eastAsia" w:ascii="宋体" w:hAnsi="宋体" w:eastAsia="宋体" w:cs="宋体"/>
                <w:i w:val="0"/>
                <w:color w:val="000000"/>
                <w:kern w:val="0"/>
                <w:sz w:val="32"/>
                <w:szCs w:val="32"/>
                <w:highlight w:val="none"/>
                <w:u w:val="none"/>
                <w:lang w:val="en-US" w:eastAsia="zh-CN" w:bidi="ar"/>
              </w:rPr>
              <w:t>附件</w:t>
            </w:r>
          </w:p>
          <w:p>
            <w:pPr>
              <w:rPr>
                <w:rFonts w:hint="eastAsia" w:ascii="宋体" w:hAnsi="宋体" w:eastAsia="宋体" w:cs="宋体"/>
                <w:i w:val="0"/>
                <w:color w:val="000000"/>
                <w:sz w:val="21"/>
                <w:szCs w:val="21"/>
                <w:highlight w:val="none"/>
                <w:u w:val="none"/>
              </w:rPr>
            </w:pPr>
            <w:r>
              <w:rPr>
                <w:rFonts w:hint="eastAsia" w:ascii="宋体" w:hAnsi="宋体" w:eastAsia="宋体" w:cs="宋体"/>
                <w:sz w:val="36"/>
                <w:szCs w:val="36"/>
              </w:rPr>
              <w:t>黑龙江省中医药管理局</w:t>
            </w:r>
            <w:r>
              <w:rPr>
                <w:rFonts w:hint="eastAsia" w:ascii="宋体" w:hAnsi="宋体" w:eastAsia="宋体" w:cs="宋体"/>
                <w:sz w:val="36"/>
                <w:szCs w:val="36"/>
                <w:lang w:eastAsia="zh-CN"/>
              </w:rPr>
              <w:t>拟</w:t>
            </w:r>
            <w:r>
              <w:rPr>
                <w:rFonts w:hint="eastAsia" w:ascii="宋体" w:hAnsi="宋体" w:eastAsia="宋体" w:cs="宋体"/>
                <w:sz w:val="36"/>
                <w:szCs w:val="36"/>
              </w:rPr>
              <w:t>提名2023年度黑龙江省科学技术奖项目</w:t>
            </w:r>
            <w:r>
              <w:rPr>
                <w:rFonts w:hint="eastAsia" w:ascii="宋体" w:hAnsi="宋体" w:eastAsia="宋体" w:cs="宋体"/>
                <w:sz w:val="36"/>
                <w:szCs w:val="36"/>
                <w:lang w:eastAsia="zh-CN"/>
              </w:rPr>
              <w:t>补充公示信息</w:t>
            </w:r>
            <w:r>
              <w:rPr>
                <w:rFonts w:hint="eastAsia" w:ascii="宋体" w:hAnsi="宋体" w:eastAsia="宋体" w:cs="宋体"/>
                <w:sz w:val="36"/>
                <w:szCs w:val="36"/>
              </w:rPr>
              <w:t>情况表</w:t>
            </w:r>
          </w:p>
        </w:tc>
      </w:tr>
    </w:tbl>
    <w:tbl>
      <w:tblPr>
        <w:tblStyle w:val="2"/>
        <w:tblW w:w="138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49"/>
        <w:gridCol w:w="2011"/>
        <w:gridCol w:w="1080"/>
        <w:gridCol w:w="1290"/>
        <w:gridCol w:w="7230"/>
        <w:gridCol w:w="156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序号</w:t>
            </w:r>
          </w:p>
        </w:tc>
        <w:tc>
          <w:tcPr>
            <w:tcW w:w="2011"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项目   负责人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类别</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代表性论文（专著）目录</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主要完成人</w:t>
            </w:r>
            <w:r>
              <w:rPr>
                <w:rFonts w:hint="eastAsia" w:ascii="宋体" w:hAnsi="宋体" w:eastAsia="宋体" w:cs="宋体"/>
                <w:i w:val="0"/>
                <w:color w:val="000000"/>
                <w:w w:val="90"/>
                <w:kern w:val="0"/>
                <w:sz w:val="28"/>
                <w:szCs w:val="28"/>
                <w:u w:val="none"/>
                <w:lang w:val="en-US" w:eastAsia="zh-CN" w:bidi="ar"/>
              </w:rPr>
              <w:t>（完成单位）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28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中药经典剂型现代表征技术及创新性研究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吕邵娃</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自然科学类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w w:val="90"/>
                <w:kern w:val="0"/>
                <w:sz w:val="24"/>
                <w:szCs w:val="24"/>
                <w:u w:val="none"/>
                <w:lang w:val="en-US" w:eastAsia="zh-CN" w:bidi="ar"/>
              </w:rPr>
              <w:t>1.Shaowa Lü, Hong Su，Shuang Sun，Yuyan Guo，Ting Liu，Yang Ping, Yongji Li* .Isolation and characterization of  nanometre aggregates from a  Bai-Hu-Tang decoction and their  antipyretic efect，Scientific Reports，2018 Aug 15;8(1):12209.国内完成，SCI-EXPANDED数据库检索，他引总次数23。</w:t>
            </w:r>
            <w:r>
              <w:rPr>
                <w:rFonts w:hint="eastAsia" w:ascii="宋体" w:hAnsi="宋体" w:eastAsia="宋体" w:cs="宋体"/>
                <w:i w:val="0"/>
                <w:color w:val="000000"/>
                <w:w w:val="90"/>
                <w:kern w:val="0"/>
                <w:sz w:val="24"/>
                <w:szCs w:val="24"/>
                <w:u w:val="none"/>
                <w:lang w:val="en-US" w:eastAsia="zh-CN" w:bidi="ar"/>
              </w:rPr>
              <w:br w:type="textWrapping"/>
            </w:r>
            <w:r>
              <w:rPr>
                <w:rFonts w:hint="eastAsia" w:ascii="宋体" w:hAnsi="宋体" w:eastAsia="宋体" w:cs="宋体"/>
                <w:i w:val="0"/>
                <w:color w:val="000000"/>
                <w:w w:val="90"/>
                <w:kern w:val="0"/>
                <w:sz w:val="24"/>
                <w:szCs w:val="24"/>
                <w:u w:val="none"/>
                <w:lang w:val="en-US" w:eastAsia="zh-CN" w:bidi="ar"/>
              </w:rPr>
              <w:t>2.Yang Ping,Yingpeng Li, Shaowa Lü, Yali Sun, Wanmeng Zhang, Jialin Wu,Ting Liu,Yongji Li*.A study of nanometre aggregates formation mechanism and antipyretic eﬀect in Bai-Hu-Tang, an ancient Chinese herbal decoction，Biomedicine &amp; Pharmacotherapy，2020 Apr:124:109826.国内完成，SCI-EXPANDED数据库检索，他引总次数9。</w:t>
            </w:r>
            <w:r>
              <w:rPr>
                <w:rFonts w:hint="eastAsia" w:ascii="宋体" w:hAnsi="宋体" w:eastAsia="宋体" w:cs="宋体"/>
                <w:i w:val="0"/>
                <w:color w:val="000000"/>
                <w:w w:val="90"/>
                <w:kern w:val="0"/>
                <w:sz w:val="24"/>
                <w:szCs w:val="24"/>
                <w:u w:val="none"/>
                <w:lang w:val="en-US" w:eastAsia="zh-CN" w:bidi="ar"/>
              </w:rPr>
              <w:br w:type="textWrapping"/>
            </w:r>
            <w:r>
              <w:rPr>
                <w:rFonts w:hint="eastAsia" w:ascii="宋体" w:hAnsi="宋体" w:eastAsia="宋体" w:cs="宋体"/>
                <w:i w:val="0"/>
                <w:color w:val="000000"/>
                <w:w w:val="90"/>
                <w:kern w:val="0"/>
                <w:sz w:val="24"/>
                <w:szCs w:val="24"/>
                <w:u w:val="none"/>
                <w:lang w:val="en-US" w:eastAsia="zh-CN" w:bidi="ar"/>
              </w:rPr>
              <w:t>3.Xiu-Yan Li, Qing-Xia Guan, Yu-Zhou Shang, Yan-Hong Wang, Shao-Wa Lv, Zhi-Xin Yang, Rui Wang, Yu-Fei Feng, Wei-Nan Li, Yong-Ji Li*. Metal-organic framework IRMOFs coated with a temperature sensitive gel delivering norcantharidin to treat liver cancer，World Journal of Gastroenterology，2021 Jul 14;27(26):4208-4220。国内完成，SCI-EXPANDED数据库检索，他引总次数11。</w:t>
            </w:r>
            <w:r>
              <w:rPr>
                <w:rFonts w:hint="eastAsia" w:ascii="宋体" w:hAnsi="宋体" w:eastAsia="宋体" w:cs="宋体"/>
                <w:i w:val="0"/>
                <w:color w:val="000000"/>
                <w:w w:val="90"/>
                <w:kern w:val="0"/>
                <w:sz w:val="24"/>
                <w:szCs w:val="24"/>
                <w:u w:val="none"/>
                <w:lang w:val="en-US" w:eastAsia="zh-CN" w:bidi="ar"/>
              </w:rPr>
              <w:br w:type="textWrapping"/>
            </w:r>
            <w:r>
              <w:rPr>
                <w:rFonts w:hint="eastAsia" w:ascii="宋体" w:hAnsi="宋体" w:eastAsia="宋体" w:cs="宋体"/>
                <w:i w:val="0"/>
                <w:color w:val="000000"/>
                <w:w w:val="90"/>
                <w:kern w:val="0"/>
                <w:sz w:val="24"/>
                <w:szCs w:val="24"/>
                <w:u w:val="none"/>
                <w:lang w:val="en-US" w:eastAsia="zh-CN" w:bidi="ar"/>
              </w:rPr>
              <w:t>4.Yuyan Guo, Tao Gao, Fang Fang, Shuang Sun, Dayu Yang, Yongji Li, Shaowa Lv*.A novel polymer micelle as a targeted drug delivery system for   10-hydroxycamptothecin with high drug-loading properties and  anti-tumor efffcacy,Biophysical Chemistry,2021 Dec:279:106679.国内完成，SCI-EXPANDED数据库检索，他引总次数11。</w:t>
            </w:r>
            <w:r>
              <w:rPr>
                <w:rFonts w:hint="eastAsia" w:ascii="宋体" w:hAnsi="宋体" w:eastAsia="宋体" w:cs="宋体"/>
                <w:i w:val="0"/>
                <w:color w:val="000000"/>
                <w:w w:val="90"/>
                <w:kern w:val="0"/>
                <w:sz w:val="24"/>
                <w:szCs w:val="24"/>
                <w:u w:val="none"/>
                <w:lang w:val="en-US" w:eastAsia="zh-CN" w:bidi="ar"/>
              </w:rPr>
              <w:br w:type="textWrapping"/>
            </w:r>
            <w:r>
              <w:rPr>
                <w:rFonts w:hint="eastAsia" w:ascii="宋体" w:hAnsi="宋体" w:eastAsia="宋体" w:cs="宋体"/>
                <w:i w:val="0"/>
                <w:color w:val="000000"/>
                <w:w w:val="90"/>
                <w:kern w:val="0"/>
                <w:sz w:val="24"/>
                <w:szCs w:val="24"/>
                <w:u w:val="none"/>
                <w:lang w:val="en-US" w:eastAsia="zh-CN" w:bidi="ar"/>
              </w:rPr>
              <w:t>5.Shuang Sun, Eryu Shang, Aixia Ju, Yalun Li, Qian Wu, Qiuhong Li, Yang Yang, Yuyan Guo, Dayu Yang, Shaowa Lv*.Tumor-targeted hyaluronic acid-mPEG modified nanostructured lipid carriers for cantharidin delivery: An in vivo and in vitro study,Fitoterapia,2021 Nov:155:105033.国内完成，SCI-EXPANDED数据库检索，他引总次数11。</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吕邵娃，李英鹏，郭玉岩，李秀岩，李永吉</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3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苦地丁消除细菌耐药性的药效物质及其药物动力学</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杨春娟</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自然科学类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1"/>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Ultrahigh-performance liquid chromatography with tandem mass spectrometry for the determination of 10 alkaloids in beagle plasma after the oral administration of the three Coptidi rhizome extracts, Journal of Ethnopharmacology.Yixuan Ren, Zhibin Wang, Chengcui Wu, Hongrui Dong, Chunli Gan, Linzi Fan, Wenyu Wang, Chunjuan Yang*, IF=5.4, 国内完成, 2019, 239:111896, SCI-EXPANDED数据库, 他引15次。                                                                 </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Corynoline Isolated from Corydalis bungeana Turcz. Exhibits Anti-Inflammatory Effects via Modulation of Nfr2 and MAPKs, Molecules, Chunjuan Yang,Chengyue Zhang,Zhibin Wang,Zhenqiu Tang,Haixue Kuang,Ah-Ng Tony Kong*, IF=4.6, 国内完成, 2016, 21(8):975, SCI-EXPANDED数据库, 他引6次。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3.Liquid Chromatography-Tandem Mass Spectrometry Simultaneous Determination and Pharmacokinetic Study of Fourteen Alkaloid Components in Dog Plasma after Oral Administration of Corydalis bungeana Turcz Extract, Molecules, Hongrui Dong,Guanyun Yan,Zhibin Wang,Chengcui Wu,Binbin Cui,Yixuan Ren,Chunjuan Yang*, IF=4.6, 国内完成, 2018, 23(8):1927, SCI-EXPANDED数据库, 他引29次。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4.Simultaneous determination and pharmacokinetics of five alkaloids in rat plasma by ultra high performance liquid chromatography with tandem mass spectrometry after the oral administration of Corydalis bungeana Turcz extract, Journal of Separation Science, Lu Liu,Xueli Yu,Zhibin Wang,Jiahui Sun,Rong Pan,Chunjuan Yang,Lijun Wu*, IF=3.1 , 国内完成, 2016, 39(2):296-305, SCI-EXPANDED数据库, 他引14次。</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5.UHPLC–ESI–MS/MS determination and pharmacokinetic study of two alkaloid components in rat plasma after oral administration of the extract of Corydalis bungeana Turcz, Journal of Chromatography B, Chunjuan Yang,Yang Xiao,Zhibin Wang,Shuhong Wang,Lijuan Chen,Lijun Wu,Gaofeng Liu*, IF=3, 国内完成, 2014, 960:59-66. SCI-EXPANDED数据库, 他引14次。</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杨春娟，甘春丽，王晓童，王知斌，匡海学</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哈尔滨医科大学；黑龙江中医药大学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71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基于方证相关研究经典补益剂对自然衰老动物作用的生物学基础</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自然科学类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numPr>
                <w:ilvl w:val="0"/>
                <w:numId w:val="2"/>
              </w:numPr>
              <w:suppressLineNumbers w:val="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 xml:space="preserve">An Updated Mendelian Randomization Analysis of the Association Between Serum Calcium Levels and the Risk of Alzheimer's Disease.                 </w:t>
            </w:r>
          </w:p>
          <w:p>
            <w:pPr>
              <w:keepNext w:val="0"/>
              <w:keepLines w:val="0"/>
              <w:widowControl/>
              <w:numPr>
                <w:ilvl w:val="0"/>
                <w:numId w:val="2"/>
              </w:numPr>
              <w:suppressLineNumbers w:val="0"/>
              <w:ind w:left="0" w:leftChars="0" w:firstLine="0" w:firstLineChars="0"/>
              <w:jc w:val="left"/>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基于方证相关探寻肾阳虚证物质基础的蛋白质组学研究.                              3.从代谢组学角度初探中医“虚证”证候模型评价指标的建立.                               4.基于中医方证代谢组学分析四物汤对自然衰老小鼠的干预作用.                              5.六味地黄丸对自然衰老小鼠调节作用的代谢组学研究</w:t>
            </w: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p>
            <w:pPr>
              <w:keepNext w:val="0"/>
              <w:keepLines w:val="0"/>
              <w:widowControl/>
              <w:numPr>
                <w:ilvl w:val="0"/>
                <w:numId w:val="0"/>
              </w:numPr>
              <w:suppressLineNumbers w:val="0"/>
              <w:jc w:val="left"/>
              <w:textAlignment w:val="center"/>
              <w:rPr>
                <w:rFonts w:hint="eastAsia" w:ascii="宋体" w:hAnsi="宋体" w:eastAsia="宋体" w:cs="宋体"/>
                <w:i w:val="0"/>
                <w:color w:val="000000"/>
                <w:kern w:val="0"/>
                <w:sz w:val="24"/>
                <w:szCs w:val="24"/>
                <w:u w:val="none"/>
                <w:lang w:val="en-US" w:eastAsia="zh-CN" w:bidi="ar"/>
              </w:rPr>
            </w:pP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梁华，李泽光，金爽，郭滢，朱明雪</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80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利水功效古存今失中药的药性研究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刘树民</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自然科学类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1.Identification of key metabolic changes during liver fibrosis progression in rats using a urine and serum metabolomics approach，Scientific Reports，通讯作者刘树民，第一作者常虹，国内作者Chang Hong,Meng HongYu, Liu Shu-Min,Wang Yu,Yang Xiao-Xu, Lu Fang,Wang HongYu.，影响因子4.996，2017年7卷11433页，2017年9月20日，国内完成，检索数据库Web of Science，他引总次数37次。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2.Identification of human UDP-glucuronosyltransferase isoforms involved in the isofraxidin glucuronidation and assessment of the species differences of the reaction，Fitoterapia，通讯作者刘树民，第一作者孟繁星，国内作者Fanxing Meng, Yan Li, Guiyuan He, Guangbo Ge, Shumin Liu，影响因子3.204，2017年117卷118-125页，2017年3月31日，国内完成，检索数据库Web of Science，他引总次数5次。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3.An integrated metabolomics and 16S rRNA gene sequencing approach exploring the molecular pathways and potential targets behind the effects of Radix Scrophulariae，RSC Advances，通讯作者刘树民，第一作者卢芳、张宁，国内作者Fang Lu, Ning Zhang, DonghuaYu, Yi Lu, Hongwei Zhao, Mu Pang, Shu-min Liu，影响因子4.036，2019年9卷33354–33367页，2019年10月8日，国内完成，检索数据库Web of Science，他引总次数0次。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4. Effects of Radix Scrophulariae on Hyperthyroidism Assessed by Metabonomics and Network Pharmacology，Front. Pharmacol.,通讯作者刘树民、王喜军，第一作者张宁、卢芳，国内作者Ning Zhang, Fang Lu, Zihui Li, Hongwei Zhao, Mu Pang, Tao Ye, Xijun Wang, Shumin Liu，影响因子5.6，2021年 12卷727735页，2021年9月28日，国内完成，检索数据库Web of Science，他引总次数5次。</w:t>
            </w:r>
            <w:r>
              <w:rPr>
                <w:rFonts w:hint="eastAsia" w:ascii="宋体" w:hAnsi="宋体" w:eastAsia="宋体" w:cs="宋体"/>
                <w:i w:val="0"/>
                <w:color w:val="000000"/>
                <w:kern w:val="0"/>
                <w:sz w:val="18"/>
                <w:szCs w:val="18"/>
                <w:u w:val="none"/>
                <w:lang w:val="en-US" w:eastAsia="zh-CN" w:bidi="ar"/>
              </w:rPr>
              <w:br w:type="textWrapping"/>
            </w:r>
            <w:r>
              <w:rPr>
                <w:rFonts w:hint="eastAsia" w:ascii="宋体" w:hAnsi="宋体" w:eastAsia="宋体" w:cs="宋体"/>
                <w:i w:val="0"/>
                <w:color w:val="000000"/>
                <w:kern w:val="0"/>
                <w:sz w:val="18"/>
                <w:szCs w:val="18"/>
                <w:u w:val="none"/>
                <w:lang w:val="en-US" w:eastAsia="zh-CN" w:bidi="ar"/>
              </w:rPr>
              <w:t>5. 基于蛋白组学方法研究黄芩对热证大鼠物质能量代谢的影响，中药药理与临床，通讯作者刘树民，第一作者陈平平，国内作者陈平平,张亚男,王喆,高鑫,王洪玉,刘树民，影响因子1.21，2018，34( 5) 90-96，2018年10月15日，国内完成，检索数据库CNKI，他引总次数6次。</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刘树民、卢芳、于栋华、陈平平、王宇</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1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环烯醚萜和生物碱类天然产物的基础与构效关系研究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韩华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自然科学类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 Oxymatrine exhibits anti-neuroinflammatory effects on Aβ1–42-induced primary microglia cells by inhibiting NF-κB and MAPK signaling pathways. International Immunopharmacology. Peiliang Dong, Xiaomeng Ji, Wei Han, Hua Han. IF: 5.6. 2019, 74: 105686. 国内完成, SCI-E, 他引20</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 Synthesis and Promotion of the Osteoblast Proliferation Effect of Morroniside Derivatives. Molecules. Hua Han, ZhengQing Li, Na Qu, Si Chen and PeiLiang Dong. IF: 4.6. 2018, 23(6): 1412. 国内完成, SCI-E, 他引1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 Synthesis and evolution of neuroprotective effects of oxymatrine derivatives as anti-Alzheimer’s disease agents. Chemical Biology &amp; Drug Design. Peiliang Dong, Zhengqing Li, Cuili Teng, Xin Yin, Xiankai Cao, Hua Han. IF: 3.000, 2021, 98(1): 175-181. 国内完成, SCI-E, 他引2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 Hepatoprotective activity assessment of amino acids derivatives of picroside I and II. Chemical Biology &amp; Drug Design. PeiLiang Dong, ZhenLei Gao, Xin Yin, ZhengQing Li, Hua Han. IF: 3.000. 2021, 97(2): 341-348. 国内完, SCI-E, 他引1</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 xml:space="preserve">5. P-glycoprotein inhibition increases the transport of dauricine across the blood-brain barrier. PeiLiang Dong, Hua Han, TianYu Zhang, BingYou Yang, QiuHong Wang, GaoWa Eerdun. IF: 3.4. 2014, 9(3): 985-988. 国内完成, SCI-E, 他引9  </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韩华；董培良；刘艳；匡海学；国立东</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00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基于“肝肾学说”的PCOS女性生殖结局影响因素及针刺干预研究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常惠</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自然科学奖</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1.Effects of hyperhomocysteinaemia and metabolic syndrome on reproduction in women with polycystic ovary syndrome: a secondary analysis，Reprod.Biomed.Online，Xiaoke Wu,Chang H. Chang H,  Xie L,  Ge H,  Wu Q,  Wen Y,  Zhang D,  Zhang Y,  ZhangY, Ma H, Gao J,  Wang CC, Elisabet Stener-Victorin, Ernest HY Ng, Xiaoke W.，4.0，2019年38(6)卷: 990-8页，2019年6月1日，是，SCI-E，8</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2.Alterations of Sphingolipid Metabolism in Different Types of Polycystic Ovary Syndrome. Sci Rep. Ma Hongxia, Li Juan. Li J, Xie LM, Song JL, Yau LF, Mi JN, Zhang CR, Wu WT, Lai MH,  Jiang ZH, Wang JR, Ma HX.4.6，2019年9(1)卷: 1-11页，2019年3月1日，是，SCI-E，17</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3．Angiotensin-converting enzyme D/I and plasminogen activator inhibitor-1 4G/5G gene polymorphisms are associated with increased risk of spontaneous abortions in polycystic ovarian syndrome，Journal of Endocrinological Investigation，Guan YM，Sun L. Sun L, Lv H, Wei W, Zhang D, Guan YM.5.4，2010年33(2)卷: 77-82页，2009年7月28日，是，SCI-E，35</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4．Using high-throughput metabolomics to discover perturbed metabolic pathways and biomarkers of allergic rhinitis as potential targets to reveal the effects and mechanism of geniposide. Liu P, Zhang YL. Zhang YL, Yu PC, Liu P. RSC Adv. 3.9 2019 年6月3日;9 (30)卷:17490-17500，是，SCI-E，2</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5．龙江韩氏妇科学术思想的传承与创新，中华中医药杂志，韩延华，常惠。常惠，王焕，张跃辉，沈文娟，韩亚光，吴效科，韩延华，1-[5]，2021年36（9）卷: 5345-5348页，2021年09月01日，是，CNKI，8</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常惠、韩延华、张燕丽、李娟、孙林</w:t>
            </w:r>
            <w:r>
              <w:rPr>
                <w:rFonts w:hint="eastAsia" w:ascii="宋体" w:hAnsi="宋体" w:eastAsia="宋体" w:cs="宋体"/>
                <w:i w:val="0"/>
                <w:color w:val="000000"/>
                <w:kern w:val="0"/>
                <w:sz w:val="24"/>
                <w:szCs w:val="24"/>
                <w:u w:val="none"/>
                <w:lang w:val="en-US" w:eastAsia="zh-CN" w:bidi="ar"/>
              </w:rPr>
              <w:br w:type="textWrapping"/>
            </w:r>
            <w:r>
              <w:rPr>
                <w:rFonts w:hint="eastAsia" w:ascii="宋体" w:hAnsi="宋体" w:eastAsia="宋体" w:cs="宋体"/>
                <w:i w:val="0"/>
                <w:color w:val="000000"/>
                <w:kern w:val="0"/>
                <w:sz w:val="24"/>
                <w:szCs w:val="24"/>
                <w:u w:val="none"/>
                <w:lang w:val="en-US" w:eastAsia="zh-CN" w:bidi="ar"/>
              </w:rPr>
              <w:t>黑龙江中医药大学,广州医科大学附属第一医院、大连市妇女儿童医疗中心(集团)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序号</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项目名称</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项目负责人</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32"/>
                <w:szCs w:val="32"/>
                <w:u w:val="none"/>
              </w:rPr>
            </w:pPr>
            <w:r>
              <w:rPr>
                <w:rFonts w:hint="eastAsia" w:ascii="仿宋" w:hAnsi="仿宋" w:eastAsia="仿宋" w:cs="仿宋"/>
                <w:i w:val="0"/>
                <w:color w:val="000000"/>
                <w:kern w:val="0"/>
                <w:sz w:val="32"/>
                <w:szCs w:val="32"/>
                <w:u w:val="none"/>
                <w:lang w:val="en-US" w:eastAsia="zh-CN" w:bidi="ar"/>
              </w:rPr>
              <w:t>类别</w:t>
            </w:r>
          </w:p>
        </w:tc>
        <w:tc>
          <w:tcPr>
            <w:tcW w:w="723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主要完成人</w:t>
            </w:r>
          </w:p>
        </w:tc>
        <w:tc>
          <w:tcPr>
            <w:tcW w:w="156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2"/>
                <w:szCs w:val="32"/>
                <w:u w:val="none"/>
              </w:rPr>
            </w:pPr>
            <w:r>
              <w:rPr>
                <w:rFonts w:hint="eastAsia" w:ascii="宋体" w:hAnsi="宋体" w:eastAsia="宋体" w:cs="宋体"/>
                <w:i w:val="0"/>
                <w:color w:val="000000"/>
                <w:kern w:val="0"/>
                <w:sz w:val="32"/>
                <w:szCs w:val="32"/>
                <w:u w:val="none"/>
                <w:lang w:val="en-US" w:eastAsia="zh-CN" w:bidi="ar"/>
              </w:rPr>
              <w:t>主要完成单位</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42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中医药防治重大传染性疾病特色理论创新及临床应用</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梁群</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梁群、李全、程亮、方邦江、闫久江、刘玲、谢凤杰、钟灵秀、王玥</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黑龙江中医药大学、哈尔滨医科大学、上海中医药大学附属龙华医院、黑龙江珍宝岛药业股份有限公司、东南大学附属中大医院、牡丹江医学院附属红旗医院、黑龙江天辰药业有限公司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针刺督脉对阿尔茨海默病大鼠学习记忆能力影响及其机制研究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张淼</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张淼，孙兴华，武文鹏，逄静，夏昆鹏，曹阳，武丹，李书霖</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55"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基于脑肠互动调节探讨柴术理胃饮对肝郁脾虚型FD模型大鼠MTL、GAS、VIP及SP水平的影响</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范明明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范明明，张艺川，刘永梅，焦逸文，于佩邑，王顺</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基于NF-κB通路的抗支糖浆抑制咳嗽变异性哮喘作用及机制研究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王有鹏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王有鹏，田明，谭杰军，许贵军，李志军，关洋洋，王青，王甜甜，景伟超</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黑龙江中医药大学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4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连草泻痢胶囊促进细胞自噬治疗溃疡性结肠炎的分子机制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张雅丽</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张雅丽，袁星星，王炳予，郭雪莹，李丹丹，杨磊，战晶玉，刘长发</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6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基于PI3k/AKT信号通路探究丹贝益肺汤对肺纤维化作用机制</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江柏华</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江柏华、张碧海、谭莉君、蒋鹏娜、金冠男、李强、李配卓、刘丽敏</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20" w:hRule="atLeast"/>
        </w:trPr>
        <w:tc>
          <w:tcPr>
            <w:tcW w:w="64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w:t>
            </w:r>
          </w:p>
        </w:tc>
        <w:tc>
          <w:tcPr>
            <w:tcW w:w="2011"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头穴透刺联合地黄汤调节脑梗死痴呆钙超载与PI3K/AKT通路</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桑鹏</w:t>
            </w:r>
          </w:p>
        </w:tc>
        <w:tc>
          <w:tcPr>
            <w:tcW w:w="12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科技进步类</w:t>
            </w:r>
          </w:p>
        </w:tc>
        <w:tc>
          <w:tcPr>
            <w:tcW w:w="723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桑鹏；赵佳辉；王顺；杨辉；赵冬梅；齐欢；胡玉海；宋学鑫</w:t>
            </w:r>
          </w:p>
        </w:tc>
        <w:tc>
          <w:tcPr>
            <w:tcW w:w="15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黑龙江省中医药科学院</w:t>
            </w:r>
          </w:p>
        </w:tc>
      </w:tr>
    </w:tbl>
    <w:p>
      <w:pPr>
        <w:jc w:val="left"/>
        <w:rPr>
          <w:rFonts w:hint="eastAsia" w:ascii="仿宋" w:hAnsi="仿宋" w:eastAsia="仿宋" w:cs="仿宋"/>
          <w:sz w:val="44"/>
          <w:szCs w:val="44"/>
          <w:lang w:eastAsia="zh-CN"/>
        </w:rPr>
      </w:pPr>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FE6AE5"/>
    <w:multiLevelType w:val="singleLevel"/>
    <w:tmpl w:val="3EFE6AE5"/>
    <w:lvl w:ilvl="0" w:tentative="0">
      <w:start w:val="1"/>
      <w:numFmt w:val="decimal"/>
      <w:lvlText w:val="%1."/>
      <w:lvlJc w:val="left"/>
      <w:pPr>
        <w:tabs>
          <w:tab w:val="left" w:pos="312"/>
        </w:tabs>
      </w:pPr>
    </w:lvl>
  </w:abstractNum>
  <w:abstractNum w:abstractNumId="1">
    <w:nsid w:val="7CDD658F"/>
    <w:multiLevelType w:val="singleLevel"/>
    <w:tmpl w:val="7CDD658F"/>
    <w:lvl w:ilvl="0" w:tentative="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Q3OGI1N2I2ZmYzYmRmYzc1OTFkMzM1OTVjMmEwYzkifQ=="/>
  </w:docVars>
  <w:rsids>
    <w:rsidRoot w:val="00000000"/>
    <w:rsid w:val="08CB2358"/>
    <w:rsid w:val="0AF85218"/>
    <w:rsid w:val="0B5D5F1C"/>
    <w:rsid w:val="0B9B6C38"/>
    <w:rsid w:val="1C0E7C55"/>
    <w:rsid w:val="1CA1326D"/>
    <w:rsid w:val="1E933C72"/>
    <w:rsid w:val="1ED10A65"/>
    <w:rsid w:val="21231236"/>
    <w:rsid w:val="26B550CA"/>
    <w:rsid w:val="2D351F90"/>
    <w:rsid w:val="2D420678"/>
    <w:rsid w:val="2E3217B1"/>
    <w:rsid w:val="33D022C1"/>
    <w:rsid w:val="3A39483A"/>
    <w:rsid w:val="3B155A18"/>
    <w:rsid w:val="4B391612"/>
    <w:rsid w:val="4D1353D5"/>
    <w:rsid w:val="519E6469"/>
    <w:rsid w:val="59697FD9"/>
    <w:rsid w:val="598041B8"/>
    <w:rsid w:val="61706D8E"/>
    <w:rsid w:val="6440028D"/>
    <w:rsid w:val="64851570"/>
    <w:rsid w:val="73BE66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 w:type="table" w:styleId="3">
    <w:name w:val="Table Grid"/>
    <w:basedOn w:val="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5">
    <w:name w:val="font31"/>
    <w:basedOn w:val="4"/>
    <w:autoRedefine/>
    <w:qFormat/>
    <w:uiPriority w:val="0"/>
    <w:rPr>
      <w:rFonts w:hint="default" w:ascii="Times New Roman" w:hAnsi="Times New Roman" w:cs="Times New Roman"/>
      <w:color w:val="000000"/>
      <w:sz w:val="21"/>
      <w:szCs w:val="21"/>
      <w:u w:val="none"/>
    </w:rPr>
  </w:style>
  <w:style w:type="character" w:customStyle="1" w:styleId="6">
    <w:name w:val="font61"/>
    <w:basedOn w:val="4"/>
    <w:autoRedefine/>
    <w:qFormat/>
    <w:uiPriority w:val="0"/>
    <w:rPr>
      <w:rFonts w:hint="eastAsia" w:ascii="宋体" w:hAnsi="宋体" w:eastAsia="宋体" w:cs="宋体"/>
      <w:color w:val="000000"/>
      <w:sz w:val="21"/>
      <w:szCs w:val="21"/>
      <w:u w:val="none"/>
    </w:rPr>
  </w:style>
  <w:style w:type="character" w:customStyle="1" w:styleId="7">
    <w:name w:val="font01"/>
    <w:basedOn w:val="4"/>
    <w:autoRedefine/>
    <w:qFormat/>
    <w:uiPriority w:val="0"/>
    <w:rPr>
      <w:rFonts w:hint="eastAsia" w:ascii="宋体" w:hAnsi="宋体" w:eastAsia="宋体" w:cs="宋体"/>
      <w:color w:val="000000"/>
      <w:sz w:val="22"/>
      <w:szCs w:val="22"/>
      <w:u w:val="none"/>
    </w:rPr>
  </w:style>
  <w:style w:type="character" w:customStyle="1" w:styleId="8">
    <w:name w:val="font71"/>
    <w:basedOn w:val="4"/>
    <w:autoRedefine/>
    <w:qFormat/>
    <w:uiPriority w:val="0"/>
    <w:rPr>
      <w:rFonts w:hint="default" w:ascii="Times New Roman" w:hAnsi="Times New Roman" w:cs="Times New Roman"/>
      <w:color w:val="000000"/>
      <w:sz w:val="24"/>
      <w:szCs w:val="24"/>
      <w:u w:val="none"/>
    </w:rPr>
  </w:style>
  <w:style w:type="character" w:customStyle="1" w:styleId="9">
    <w:name w:val="font81"/>
    <w:basedOn w:val="4"/>
    <w:qFormat/>
    <w:uiPriority w:val="0"/>
    <w:rPr>
      <w:rFonts w:hint="default" w:ascii="Times New Roman" w:hAnsi="Times New Roman" w:cs="Times New Roman"/>
      <w:color w:val="000000"/>
      <w:sz w:val="24"/>
      <w:szCs w:val="24"/>
      <w:u w:val="none"/>
      <w:vertAlign w:val="superscript"/>
    </w:rPr>
  </w:style>
  <w:style w:type="character" w:customStyle="1" w:styleId="10">
    <w:name w:val="font41"/>
    <w:basedOn w:val="4"/>
    <w:autoRedefine/>
    <w:qFormat/>
    <w:uiPriority w:val="0"/>
    <w:rPr>
      <w:rFonts w:ascii="Calibri" w:hAnsi="Calibri" w:cs="Calibri"/>
      <w:color w:val="000000"/>
      <w:sz w:val="24"/>
      <w:szCs w:val="24"/>
      <w:u w:val="none"/>
    </w:rPr>
  </w:style>
  <w:style w:type="character" w:customStyle="1" w:styleId="11">
    <w:name w:val="font91"/>
    <w:basedOn w:val="4"/>
    <w:autoRedefine/>
    <w:qFormat/>
    <w:uiPriority w:val="0"/>
    <w:rPr>
      <w:rFonts w:ascii="Arial" w:hAnsi="Arial" w:cs="Arial"/>
      <w:color w:val="000000"/>
      <w:sz w:val="24"/>
      <w:szCs w:val="24"/>
      <w:u w:val="none"/>
    </w:rPr>
  </w:style>
  <w:style w:type="character" w:customStyle="1" w:styleId="12">
    <w:name w:val="font51"/>
    <w:basedOn w:val="4"/>
    <w:autoRedefine/>
    <w:qFormat/>
    <w:uiPriority w:val="0"/>
    <w:rPr>
      <w:rFonts w:ascii="仿宋" w:hAnsi="仿宋" w:eastAsia="仿宋" w:cs="仿宋"/>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123</dc:creator>
  <cp:lastModifiedBy>张咩咩</cp:lastModifiedBy>
  <dcterms:modified xsi:type="dcterms:W3CDTF">2024-03-11T01:19:58Z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CB47CFB5533F49F6B7F04C87ADB6D9DF_12</vt:lpwstr>
  </property>
</Properties>
</file>